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48344" w14:textId="77777777" w:rsidR="00FC1760" w:rsidRPr="00FC1760" w:rsidRDefault="00FC1760" w:rsidP="007A59EB">
      <w:pPr>
        <w:keepNext/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54"/>
          <w:kern w:val="24"/>
          <w:sz w:val="24"/>
          <w:szCs w:val="24"/>
          <w:lang w:eastAsia="pl-PL"/>
          <w14:ligatures w14:val="none"/>
        </w:rPr>
      </w:pPr>
      <w:bookmarkStart w:id="0" w:name="_Hlk170115870"/>
      <w:r w:rsidRPr="00FC1760">
        <w:rPr>
          <w:rFonts w:ascii="Times New Roman" w:eastAsia="Times New Roman" w:hAnsi="Times New Roman" w:cs="Times New Roman"/>
          <w:b/>
          <w:bCs/>
          <w:caps/>
          <w:spacing w:val="54"/>
          <w:kern w:val="24"/>
          <w:sz w:val="24"/>
          <w:szCs w:val="24"/>
          <w:lang w:eastAsia="pl-PL"/>
          <w14:ligatures w14:val="none"/>
        </w:rPr>
        <w:t>Ustawa</w:t>
      </w:r>
    </w:p>
    <w:bookmarkEnd w:id="0"/>
    <w:p w14:paraId="1BDFC3CD" w14:textId="77777777" w:rsidR="007A59EB" w:rsidRDefault="00FC1760" w:rsidP="007A59EB">
      <w:pPr>
        <w:keepNext/>
        <w:suppressAutoHyphens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C17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</w:t>
      </w:r>
    </w:p>
    <w:p w14:paraId="5376EE4A" w14:textId="5C02B2C3" w:rsidR="00FC1760" w:rsidRDefault="00FC1760" w:rsidP="007A59EB">
      <w:pPr>
        <w:keepNext/>
        <w:suppressAutoHyphens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C17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 zmianie ustawy - Ordynacja </w:t>
      </w:r>
      <w:r w:rsidRPr="007B71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podatkowa</w:t>
      </w:r>
      <w:r w:rsidR="007B7111" w:rsidRPr="007B7111">
        <w:rPr>
          <w:rFonts w:ascii="Times New Roman" w:hAnsi="Times New Roman" w:cs="Times New Roman"/>
          <w:b/>
          <w:bCs/>
          <w:sz w:val="24"/>
          <w:szCs w:val="24"/>
        </w:rPr>
        <w:t xml:space="preserve"> oraz ustawy - </w:t>
      </w:r>
      <w:r w:rsidR="007B7111" w:rsidRPr="007B71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Kodeks karny skarbowy</w:t>
      </w:r>
    </w:p>
    <w:p w14:paraId="677A0464" w14:textId="77777777" w:rsidR="007B7111" w:rsidRPr="00FC1760" w:rsidRDefault="007B7111" w:rsidP="007A59EB">
      <w:pPr>
        <w:keepNext/>
        <w:suppressAutoHyphens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4A06F6B" w14:textId="18CA95CF" w:rsidR="00FC1760" w:rsidRPr="00FC1760" w:rsidRDefault="00FC1760" w:rsidP="002A2B90">
      <w:pPr>
        <w:spacing w:line="360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" w:name="_Hlk170112873"/>
      <w:r w:rsidRPr="00FC176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Art. 1.</w:t>
      </w:r>
      <w:r w:rsidRPr="00FC17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 ustawie </w:t>
      </w:r>
      <w:r w:rsidRPr="00E758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 dnia 29 sierpnia 1997 r.</w:t>
      </w:r>
      <w:r w:rsidRPr="00FC176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758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Ordynacja podatkowa </w:t>
      </w:r>
      <w:r w:rsidRPr="00FC17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(Dz. U. z 202</w:t>
      </w:r>
      <w:r w:rsidRPr="00E758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FC17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Pr="00E758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2383, 2760</w:t>
      </w:r>
      <w:r w:rsidRPr="00FC17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) </w:t>
      </w:r>
      <w:r w:rsidRPr="00E758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art. 70:</w:t>
      </w:r>
      <w:r w:rsidRPr="00FC17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bookmarkEnd w:id="1"/>
    <w:p w14:paraId="446B9416" w14:textId="39A28985" w:rsidR="00FC1760" w:rsidRPr="00E75825" w:rsidRDefault="00FC1760" w:rsidP="003924B4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 w:rsidRPr="001C76C9">
        <w:rPr>
          <w:rFonts w:ascii="Times New Roman" w:hAnsi="Times New Roman" w:cs="Times New Roman"/>
          <w:sz w:val="24"/>
          <w:szCs w:val="24"/>
        </w:rPr>
        <w:t>§ 1 otrzymuje brzmienie</w:t>
      </w:r>
      <w:r w:rsidRPr="00E75825">
        <w:rPr>
          <w:rFonts w:ascii="Times New Roman" w:hAnsi="Times New Roman" w:cs="Times New Roman"/>
        </w:rPr>
        <w:t>:</w:t>
      </w:r>
    </w:p>
    <w:p w14:paraId="4BF224B7" w14:textId="543F5704" w:rsidR="00D52580" w:rsidRPr="00E75825" w:rsidRDefault="00D52580" w:rsidP="00F30586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75825">
        <w:rPr>
          <w:rFonts w:ascii="Times New Roman" w:hAnsi="Times New Roman" w:cs="Times New Roman"/>
          <w:sz w:val="24"/>
          <w:szCs w:val="24"/>
        </w:rPr>
        <w:t xml:space="preserve">„§ 1. Zobowiązanie podatkowe przedawnia się z </w:t>
      </w:r>
      <w:r w:rsidRPr="001C76C9">
        <w:rPr>
          <w:rFonts w:ascii="Times New Roman" w:hAnsi="Times New Roman" w:cs="Times New Roman"/>
          <w:sz w:val="24"/>
          <w:szCs w:val="24"/>
        </w:rPr>
        <w:t>upływem 3 lat, licząc o</w:t>
      </w:r>
      <w:r w:rsidRPr="00E75825">
        <w:rPr>
          <w:rFonts w:ascii="Times New Roman" w:hAnsi="Times New Roman" w:cs="Times New Roman"/>
          <w:sz w:val="24"/>
          <w:szCs w:val="24"/>
        </w:rPr>
        <w:t>d końca roku kalendarzowego, w którym upłynął termin płatności podatku.”</w:t>
      </w:r>
      <w:r w:rsidR="00E75825" w:rsidRPr="00E75825">
        <w:rPr>
          <w:rFonts w:ascii="Times New Roman" w:hAnsi="Times New Roman" w:cs="Times New Roman"/>
          <w:sz w:val="24"/>
          <w:szCs w:val="24"/>
        </w:rPr>
        <w:t>,</w:t>
      </w:r>
    </w:p>
    <w:p w14:paraId="2B6A4704" w14:textId="2B8279FA" w:rsidR="00D52580" w:rsidRPr="001C76C9" w:rsidRDefault="00E75825" w:rsidP="003924B4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76C9">
        <w:rPr>
          <w:rFonts w:ascii="Times New Roman" w:hAnsi="Times New Roman" w:cs="Times New Roman"/>
          <w:sz w:val="24"/>
          <w:szCs w:val="24"/>
        </w:rPr>
        <w:t>po § 1a dodaje się § 1b i 1c w brzmieniu:</w:t>
      </w:r>
    </w:p>
    <w:p w14:paraId="5AE75548" w14:textId="17F91AFF" w:rsidR="00D52580" w:rsidRPr="00E75825" w:rsidRDefault="00D52580" w:rsidP="003924B4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75825">
        <w:rPr>
          <w:rFonts w:ascii="Times New Roman" w:hAnsi="Times New Roman" w:cs="Times New Roman"/>
          <w:sz w:val="24"/>
          <w:szCs w:val="24"/>
        </w:rPr>
        <w:t>„§ 1</w:t>
      </w:r>
      <w:r w:rsidR="00E75825">
        <w:rPr>
          <w:rFonts w:ascii="Times New Roman" w:hAnsi="Times New Roman" w:cs="Times New Roman"/>
          <w:sz w:val="24"/>
          <w:szCs w:val="24"/>
        </w:rPr>
        <w:t>b</w:t>
      </w:r>
      <w:r w:rsidRPr="00E75825">
        <w:rPr>
          <w:rFonts w:ascii="Times New Roman" w:hAnsi="Times New Roman" w:cs="Times New Roman"/>
          <w:sz w:val="24"/>
          <w:szCs w:val="24"/>
        </w:rPr>
        <w:t xml:space="preserve">. Zobowiązanie podatkowe przedawnia się z </w:t>
      </w:r>
      <w:r w:rsidRPr="001C76C9">
        <w:rPr>
          <w:rFonts w:ascii="Times New Roman" w:hAnsi="Times New Roman" w:cs="Times New Roman"/>
          <w:sz w:val="24"/>
          <w:szCs w:val="24"/>
        </w:rPr>
        <w:t>upływem 5 lat,</w:t>
      </w:r>
      <w:r w:rsidRPr="00E75825">
        <w:rPr>
          <w:rFonts w:ascii="Times New Roman" w:hAnsi="Times New Roman" w:cs="Times New Roman"/>
          <w:sz w:val="24"/>
          <w:szCs w:val="24"/>
        </w:rPr>
        <w:t xml:space="preserve"> licząc od końca roku kalendarzowego, w którym upłynął termin płatności podatku, jeżeli wartość tego zobowiązania przekracza 1 000 000 zł.”</w:t>
      </w:r>
    </w:p>
    <w:p w14:paraId="51CE1983" w14:textId="296AC95E" w:rsidR="00D52580" w:rsidRPr="00E75825" w:rsidRDefault="00D52580" w:rsidP="003924B4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75825">
        <w:rPr>
          <w:rFonts w:ascii="Times New Roman" w:hAnsi="Times New Roman" w:cs="Times New Roman"/>
          <w:sz w:val="24"/>
          <w:szCs w:val="24"/>
        </w:rPr>
        <w:t>§</w:t>
      </w:r>
      <w:r w:rsidR="00E75825">
        <w:rPr>
          <w:rFonts w:ascii="Times New Roman" w:hAnsi="Times New Roman" w:cs="Times New Roman"/>
          <w:sz w:val="24"/>
          <w:szCs w:val="24"/>
        </w:rPr>
        <w:t xml:space="preserve"> </w:t>
      </w:r>
      <w:r w:rsidRPr="00E75825">
        <w:rPr>
          <w:rFonts w:ascii="Times New Roman" w:hAnsi="Times New Roman" w:cs="Times New Roman"/>
          <w:sz w:val="24"/>
          <w:szCs w:val="24"/>
        </w:rPr>
        <w:t>1</w:t>
      </w:r>
      <w:r w:rsidR="00E75825">
        <w:rPr>
          <w:rFonts w:ascii="Times New Roman" w:hAnsi="Times New Roman" w:cs="Times New Roman"/>
          <w:sz w:val="24"/>
          <w:szCs w:val="24"/>
        </w:rPr>
        <w:t>c</w:t>
      </w:r>
      <w:r w:rsidRPr="00E75825">
        <w:rPr>
          <w:rFonts w:ascii="Times New Roman" w:hAnsi="Times New Roman" w:cs="Times New Roman"/>
          <w:sz w:val="24"/>
          <w:szCs w:val="24"/>
        </w:rPr>
        <w:t xml:space="preserve">. Zobowiązanie podatkowe przedawnia się z </w:t>
      </w:r>
      <w:r w:rsidRPr="001C76C9">
        <w:rPr>
          <w:rFonts w:ascii="Times New Roman" w:hAnsi="Times New Roman" w:cs="Times New Roman"/>
          <w:sz w:val="24"/>
          <w:szCs w:val="24"/>
        </w:rPr>
        <w:t>upływem 10 lat, liczą</w:t>
      </w:r>
      <w:r w:rsidRPr="00E75825">
        <w:rPr>
          <w:rFonts w:ascii="Times New Roman" w:hAnsi="Times New Roman" w:cs="Times New Roman"/>
          <w:sz w:val="24"/>
          <w:szCs w:val="24"/>
        </w:rPr>
        <w:t>c od końca roku kalendarzowego, w którym upłynął termin płatności podatku, jeżeli:</w:t>
      </w:r>
    </w:p>
    <w:p w14:paraId="0E03E504" w14:textId="3190A283" w:rsidR="00074918" w:rsidRPr="00E75825" w:rsidRDefault="009B043F" w:rsidP="003924B4">
      <w:pPr>
        <w:pStyle w:val="Akapitzlist"/>
        <w:numPr>
          <w:ilvl w:val="0"/>
          <w:numId w:val="2"/>
        </w:numPr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E75825">
        <w:rPr>
          <w:rFonts w:ascii="Times New Roman" w:hAnsi="Times New Roman" w:cs="Times New Roman"/>
          <w:sz w:val="24"/>
          <w:szCs w:val="24"/>
        </w:rPr>
        <w:t xml:space="preserve">niewykonanie tego </w:t>
      </w:r>
      <w:r w:rsidR="00074918" w:rsidRPr="00E75825">
        <w:rPr>
          <w:rFonts w:ascii="Times New Roman" w:hAnsi="Times New Roman" w:cs="Times New Roman"/>
          <w:sz w:val="24"/>
          <w:szCs w:val="24"/>
        </w:rPr>
        <w:t>zobowiązani</w:t>
      </w:r>
      <w:r w:rsidRPr="00E75825">
        <w:rPr>
          <w:rFonts w:ascii="Times New Roman" w:hAnsi="Times New Roman" w:cs="Times New Roman"/>
          <w:sz w:val="24"/>
          <w:szCs w:val="24"/>
        </w:rPr>
        <w:t>a wiąże się z wyłudzeniem skarbowym w rozumieniu art. 119zg pkt 9, które</w:t>
      </w:r>
      <w:r w:rsidR="00074918" w:rsidRPr="00E75825">
        <w:rPr>
          <w:rFonts w:ascii="Times New Roman" w:hAnsi="Times New Roman" w:cs="Times New Roman"/>
          <w:sz w:val="24"/>
          <w:szCs w:val="24"/>
        </w:rPr>
        <w:t xml:space="preserve"> stanowił</w:t>
      </w:r>
      <w:r w:rsidRPr="00E75825">
        <w:rPr>
          <w:rFonts w:ascii="Times New Roman" w:hAnsi="Times New Roman" w:cs="Times New Roman"/>
          <w:sz w:val="24"/>
          <w:szCs w:val="24"/>
        </w:rPr>
        <w:t>o</w:t>
      </w:r>
      <w:r w:rsidR="00074918" w:rsidRPr="00E75825">
        <w:rPr>
          <w:rFonts w:ascii="Times New Roman" w:hAnsi="Times New Roman" w:cs="Times New Roman"/>
          <w:sz w:val="24"/>
          <w:szCs w:val="24"/>
        </w:rPr>
        <w:t xml:space="preserve"> podstawę prawomocnego </w:t>
      </w:r>
      <w:r w:rsidR="000B7BF9">
        <w:rPr>
          <w:rFonts w:ascii="Times New Roman" w:hAnsi="Times New Roman" w:cs="Times New Roman"/>
          <w:sz w:val="24"/>
          <w:szCs w:val="24"/>
        </w:rPr>
        <w:t xml:space="preserve">skazania </w:t>
      </w:r>
      <w:r w:rsidRPr="00E75825">
        <w:rPr>
          <w:rFonts w:ascii="Times New Roman" w:hAnsi="Times New Roman" w:cs="Times New Roman"/>
          <w:sz w:val="24"/>
          <w:szCs w:val="24"/>
        </w:rPr>
        <w:t xml:space="preserve">osoby, na której ciąży to zobowiązanie podatkowe, lub osoby, która </w:t>
      </w:r>
      <w:r w:rsidR="001C76C9">
        <w:rPr>
          <w:rFonts w:ascii="Times New Roman" w:hAnsi="Times New Roman" w:cs="Times New Roman"/>
          <w:sz w:val="24"/>
          <w:szCs w:val="24"/>
        </w:rPr>
        <w:t xml:space="preserve">na </w:t>
      </w:r>
      <w:r w:rsidRPr="00E75825">
        <w:rPr>
          <w:rFonts w:ascii="Times New Roman" w:hAnsi="Times New Roman" w:cs="Times New Roman"/>
          <w:sz w:val="24"/>
          <w:szCs w:val="24"/>
        </w:rPr>
        <w:t>podstawie przepisu prawa, decyzji właściwego organu, umowy lub faktycznego wykonywania zajmuje się sprawami gospodarczymi podmiotu, na którym ciąży to zobowiązanie podatkowe;</w:t>
      </w:r>
    </w:p>
    <w:p w14:paraId="3426FCDB" w14:textId="5138CB39" w:rsidR="00D52580" w:rsidRPr="00E75825" w:rsidRDefault="00D52580" w:rsidP="003924B4">
      <w:pPr>
        <w:pStyle w:val="Akapitzlist"/>
        <w:numPr>
          <w:ilvl w:val="0"/>
          <w:numId w:val="2"/>
        </w:numPr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E75825">
        <w:rPr>
          <w:rFonts w:ascii="Times New Roman" w:hAnsi="Times New Roman" w:cs="Times New Roman"/>
          <w:sz w:val="24"/>
          <w:szCs w:val="24"/>
        </w:rPr>
        <w:t>zobowiązanie to wynika z decyzji, w przypadku której wydania organ podatkowy ustala jednocześnie dodatkowe zobowiązanie podatkowe na podstawie przepisów rozdziału 6a; przepisy art. 58a §</w:t>
      </w:r>
      <w:r w:rsidR="00A66979" w:rsidRPr="00E75825">
        <w:rPr>
          <w:rFonts w:ascii="Times New Roman" w:hAnsi="Times New Roman" w:cs="Times New Roman"/>
          <w:sz w:val="24"/>
          <w:szCs w:val="24"/>
        </w:rPr>
        <w:t xml:space="preserve"> </w:t>
      </w:r>
      <w:r w:rsidRPr="00E75825">
        <w:rPr>
          <w:rFonts w:ascii="Times New Roman" w:hAnsi="Times New Roman" w:cs="Times New Roman"/>
          <w:sz w:val="24"/>
          <w:szCs w:val="24"/>
        </w:rPr>
        <w:t>3-5 stosuje się odpowiednio</w:t>
      </w:r>
      <w:r w:rsidR="00074918" w:rsidRPr="00E75825">
        <w:rPr>
          <w:rFonts w:ascii="Times New Roman" w:hAnsi="Times New Roman" w:cs="Times New Roman"/>
          <w:sz w:val="24"/>
          <w:szCs w:val="24"/>
        </w:rPr>
        <w:t>;</w:t>
      </w:r>
    </w:p>
    <w:p w14:paraId="1548692F" w14:textId="2C3AB351" w:rsidR="00074918" w:rsidRDefault="00074918" w:rsidP="003924B4">
      <w:pPr>
        <w:pStyle w:val="Akapitzlist"/>
        <w:numPr>
          <w:ilvl w:val="0"/>
          <w:numId w:val="2"/>
        </w:numPr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E75825">
        <w:rPr>
          <w:rFonts w:ascii="Times New Roman" w:hAnsi="Times New Roman" w:cs="Times New Roman"/>
          <w:sz w:val="24"/>
          <w:szCs w:val="24"/>
        </w:rPr>
        <w:t xml:space="preserve">zobowiązanie to wynika z decyzji wydanej z zastosowaniem art. 5 ust. 4 ustawy </w:t>
      </w:r>
      <w:r w:rsidR="009328A7" w:rsidRPr="009328A7">
        <w:rPr>
          <w:rFonts w:ascii="Times New Roman" w:hAnsi="Times New Roman" w:cs="Times New Roman"/>
          <w:sz w:val="24"/>
          <w:szCs w:val="24"/>
        </w:rPr>
        <w:t>z dnia 11 marca 2004 r.</w:t>
      </w:r>
      <w:r w:rsidR="009328A7">
        <w:rPr>
          <w:rFonts w:ascii="Times New Roman" w:hAnsi="Times New Roman" w:cs="Times New Roman"/>
          <w:sz w:val="24"/>
          <w:szCs w:val="24"/>
        </w:rPr>
        <w:t xml:space="preserve"> </w:t>
      </w:r>
      <w:r w:rsidRPr="00E75825">
        <w:rPr>
          <w:rFonts w:ascii="Times New Roman" w:hAnsi="Times New Roman" w:cs="Times New Roman"/>
          <w:sz w:val="24"/>
          <w:szCs w:val="24"/>
        </w:rPr>
        <w:t>o podatku od towarów i usług</w:t>
      </w:r>
      <w:r w:rsidR="009B043F" w:rsidRPr="00E75825">
        <w:rPr>
          <w:rFonts w:ascii="Times New Roman" w:hAnsi="Times New Roman" w:cs="Times New Roman"/>
          <w:sz w:val="24"/>
          <w:szCs w:val="24"/>
        </w:rPr>
        <w:t>.”</w:t>
      </w:r>
      <w:r w:rsidR="00907C76">
        <w:rPr>
          <w:rFonts w:ascii="Times New Roman" w:hAnsi="Times New Roman" w:cs="Times New Roman"/>
          <w:sz w:val="24"/>
          <w:szCs w:val="24"/>
        </w:rPr>
        <w:t>,</w:t>
      </w:r>
    </w:p>
    <w:p w14:paraId="40FCC032" w14:textId="786A6CA2" w:rsidR="00F24E3A" w:rsidRDefault="00907C76" w:rsidP="003924B4">
      <w:pPr>
        <w:spacing w:line="360" w:lineRule="auto"/>
      </w:pPr>
      <w:r w:rsidRPr="009328A7">
        <w:rPr>
          <w:rFonts w:ascii="Times New Roman" w:hAnsi="Times New Roman" w:cs="Times New Roman"/>
          <w:sz w:val="24"/>
          <w:szCs w:val="24"/>
        </w:rPr>
        <w:t xml:space="preserve">       3) </w:t>
      </w:r>
      <w:r w:rsidR="00791AE6" w:rsidRPr="009328A7">
        <w:rPr>
          <w:rFonts w:ascii="Times New Roman" w:hAnsi="Times New Roman" w:cs="Times New Roman"/>
          <w:sz w:val="24"/>
          <w:szCs w:val="24"/>
        </w:rPr>
        <w:t xml:space="preserve">w </w:t>
      </w:r>
      <w:r w:rsidRPr="009328A7">
        <w:rPr>
          <w:rFonts w:ascii="Times New Roman" w:hAnsi="Times New Roman" w:cs="Times New Roman"/>
          <w:sz w:val="24"/>
          <w:szCs w:val="24"/>
        </w:rPr>
        <w:t xml:space="preserve">§ 6 </w:t>
      </w:r>
      <w:r w:rsidR="00791AE6" w:rsidRPr="009328A7">
        <w:rPr>
          <w:rFonts w:ascii="Times New Roman" w:hAnsi="Times New Roman" w:cs="Times New Roman"/>
          <w:sz w:val="24"/>
          <w:szCs w:val="24"/>
        </w:rPr>
        <w:t xml:space="preserve">pkt 1 </w:t>
      </w:r>
      <w:r w:rsidRPr="009328A7">
        <w:rPr>
          <w:rFonts w:ascii="Times New Roman" w:hAnsi="Times New Roman" w:cs="Times New Roman"/>
          <w:sz w:val="24"/>
          <w:szCs w:val="24"/>
        </w:rPr>
        <w:t>otrzymuje brzmienie</w:t>
      </w:r>
      <w:r>
        <w:t>:</w:t>
      </w:r>
    </w:p>
    <w:p w14:paraId="040D6FD8" w14:textId="28BAC746" w:rsidR="00792A27" w:rsidRPr="00791AE6" w:rsidRDefault="009B043F" w:rsidP="003924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AE6">
        <w:rPr>
          <w:rFonts w:ascii="Times New Roman" w:hAnsi="Times New Roman" w:cs="Times New Roman"/>
          <w:sz w:val="24"/>
          <w:szCs w:val="24"/>
        </w:rPr>
        <w:t>„</w:t>
      </w:r>
      <w:r w:rsidR="00791AE6" w:rsidRPr="00791AE6">
        <w:rPr>
          <w:rFonts w:ascii="Times New Roman" w:hAnsi="Times New Roman" w:cs="Times New Roman"/>
          <w:sz w:val="24"/>
          <w:szCs w:val="24"/>
        </w:rPr>
        <w:t xml:space="preserve">1) </w:t>
      </w:r>
      <w:r w:rsidRPr="00791AE6">
        <w:rPr>
          <w:rFonts w:ascii="Times New Roman" w:hAnsi="Times New Roman" w:cs="Times New Roman"/>
          <w:sz w:val="24"/>
          <w:szCs w:val="24"/>
        </w:rPr>
        <w:t>wszczęcia postępowania</w:t>
      </w:r>
      <w:r w:rsidR="00792A27" w:rsidRPr="00791AE6">
        <w:rPr>
          <w:rFonts w:ascii="Times New Roman" w:hAnsi="Times New Roman" w:cs="Times New Roman"/>
          <w:sz w:val="24"/>
          <w:szCs w:val="24"/>
        </w:rPr>
        <w:t xml:space="preserve"> w sprawie:</w:t>
      </w:r>
    </w:p>
    <w:p w14:paraId="0C9CE312" w14:textId="7ADD0A50" w:rsidR="00792A27" w:rsidRPr="00791AE6" w:rsidRDefault="009B043F" w:rsidP="003924B4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AE6">
        <w:rPr>
          <w:rFonts w:ascii="Times New Roman" w:hAnsi="Times New Roman" w:cs="Times New Roman"/>
          <w:sz w:val="24"/>
          <w:szCs w:val="24"/>
        </w:rPr>
        <w:lastRenderedPageBreak/>
        <w:t xml:space="preserve">o wyłudzenie skarbowe w rozumieniu art. 119zg pkt 9, </w:t>
      </w:r>
      <w:r w:rsidR="00F24E3A" w:rsidRPr="00791AE6">
        <w:rPr>
          <w:rFonts w:ascii="Times New Roman" w:hAnsi="Times New Roman" w:cs="Times New Roman"/>
          <w:sz w:val="24"/>
          <w:szCs w:val="24"/>
        </w:rPr>
        <w:t>w przypadku, o którym mowa w § 1</w:t>
      </w:r>
      <w:r w:rsidR="00791AE6" w:rsidRPr="00791AE6">
        <w:rPr>
          <w:rFonts w:ascii="Times New Roman" w:hAnsi="Times New Roman" w:cs="Times New Roman"/>
          <w:sz w:val="24"/>
          <w:szCs w:val="24"/>
        </w:rPr>
        <w:t>c</w:t>
      </w:r>
      <w:r w:rsidR="00F24E3A" w:rsidRPr="00791AE6">
        <w:rPr>
          <w:rFonts w:ascii="Times New Roman" w:hAnsi="Times New Roman" w:cs="Times New Roman"/>
          <w:sz w:val="24"/>
          <w:szCs w:val="24"/>
        </w:rPr>
        <w:t xml:space="preserve"> pkt 1</w:t>
      </w:r>
      <w:r w:rsidR="00792A27" w:rsidRPr="00791AE6">
        <w:rPr>
          <w:rFonts w:ascii="Times New Roman" w:hAnsi="Times New Roman" w:cs="Times New Roman"/>
          <w:sz w:val="24"/>
          <w:szCs w:val="24"/>
        </w:rPr>
        <w:t>,</w:t>
      </w:r>
    </w:p>
    <w:p w14:paraId="2A334EA8" w14:textId="743707D6" w:rsidR="009B043F" w:rsidRPr="00791AE6" w:rsidRDefault="00792A27" w:rsidP="003924B4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AE6">
        <w:rPr>
          <w:rFonts w:ascii="Times New Roman" w:hAnsi="Times New Roman" w:cs="Times New Roman"/>
          <w:sz w:val="24"/>
          <w:szCs w:val="24"/>
        </w:rPr>
        <w:t xml:space="preserve">o przestępstwo skarbowe, o którym podatnik został zawiadomiony, jeżeli podejrzenie popełnienia przestępstwa wiąże się z niewykonaniem tego zobowiązania a zobowiązanie to dotyczy podatku od towarów i usług </w:t>
      </w:r>
      <w:r w:rsidR="00443130" w:rsidRPr="00791AE6">
        <w:rPr>
          <w:rFonts w:ascii="Times New Roman" w:hAnsi="Times New Roman" w:cs="Times New Roman"/>
          <w:sz w:val="24"/>
          <w:szCs w:val="24"/>
        </w:rPr>
        <w:t>zaś</w:t>
      </w:r>
      <w:r w:rsidRPr="00791AE6">
        <w:rPr>
          <w:rFonts w:ascii="Times New Roman" w:hAnsi="Times New Roman" w:cs="Times New Roman"/>
          <w:sz w:val="24"/>
          <w:szCs w:val="24"/>
        </w:rPr>
        <w:t xml:space="preserve"> jego wartość przekracza 1 000 000 zł;</w:t>
      </w:r>
      <w:r w:rsidR="009B043F" w:rsidRPr="00791AE6">
        <w:rPr>
          <w:rFonts w:ascii="Times New Roman" w:hAnsi="Times New Roman" w:cs="Times New Roman"/>
          <w:sz w:val="24"/>
          <w:szCs w:val="24"/>
        </w:rPr>
        <w:t>”</w:t>
      </w:r>
      <w:r w:rsidR="00791AE6">
        <w:rPr>
          <w:rFonts w:ascii="Times New Roman" w:hAnsi="Times New Roman" w:cs="Times New Roman"/>
          <w:sz w:val="24"/>
          <w:szCs w:val="24"/>
        </w:rPr>
        <w:t>,</w:t>
      </w:r>
    </w:p>
    <w:p w14:paraId="7F15D4D0" w14:textId="77777777" w:rsidR="00F24E3A" w:rsidRDefault="00F24E3A" w:rsidP="003924B4">
      <w:pPr>
        <w:pStyle w:val="Akapitzlist"/>
        <w:spacing w:line="360" w:lineRule="auto"/>
        <w:rPr>
          <w:i/>
          <w:iCs/>
        </w:rPr>
      </w:pPr>
    </w:p>
    <w:p w14:paraId="656E0B81" w14:textId="091DF935" w:rsidR="00F24E3A" w:rsidRPr="00791AE6" w:rsidRDefault="00791AE6" w:rsidP="003924B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1AE6">
        <w:rPr>
          <w:rFonts w:ascii="Times New Roman" w:hAnsi="Times New Roman" w:cs="Times New Roman"/>
          <w:sz w:val="24"/>
          <w:szCs w:val="24"/>
        </w:rPr>
        <w:t xml:space="preserve">w </w:t>
      </w:r>
      <w:r w:rsidR="00F24E3A" w:rsidRPr="00791AE6">
        <w:rPr>
          <w:rFonts w:ascii="Times New Roman" w:hAnsi="Times New Roman" w:cs="Times New Roman"/>
          <w:sz w:val="24"/>
          <w:szCs w:val="24"/>
        </w:rPr>
        <w:t>§ 7</w:t>
      </w:r>
      <w:r w:rsidRPr="00791AE6">
        <w:rPr>
          <w:rFonts w:ascii="Times New Roman" w:hAnsi="Times New Roman" w:cs="Times New Roman"/>
          <w:sz w:val="24"/>
          <w:szCs w:val="24"/>
        </w:rPr>
        <w:t xml:space="preserve"> pkt 1 otrzymuje brzmienie:</w:t>
      </w:r>
    </w:p>
    <w:p w14:paraId="6084EB4B" w14:textId="02BD0569" w:rsidR="00F24E3A" w:rsidRPr="00791AE6" w:rsidRDefault="00791AE6" w:rsidP="00F30586">
      <w:pPr>
        <w:pStyle w:val="Akapitzlist"/>
        <w:spacing w:line="36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791AE6">
        <w:rPr>
          <w:rFonts w:ascii="Times New Roman" w:hAnsi="Times New Roman" w:cs="Times New Roman"/>
          <w:sz w:val="24"/>
          <w:szCs w:val="24"/>
        </w:rPr>
        <w:t xml:space="preserve">„1) </w:t>
      </w:r>
      <w:r w:rsidR="00F24E3A" w:rsidRPr="00791AE6">
        <w:rPr>
          <w:rFonts w:ascii="Times New Roman" w:hAnsi="Times New Roman" w:cs="Times New Roman"/>
          <w:sz w:val="24"/>
          <w:szCs w:val="24"/>
        </w:rPr>
        <w:t>prawomocnego zakończenia postępowania w sprawie</w:t>
      </w:r>
      <w:r w:rsidR="00792A27" w:rsidRPr="00791AE6">
        <w:rPr>
          <w:rFonts w:ascii="Times New Roman" w:hAnsi="Times New Roman" w:cs="Times New Roman"/>
          <w:sz w:val="24"/>
          <w:szCs w:val="24"/>
        </w:rPr>
        <w:t xml:space="preserve"> </w:t>
      </w:r>
      <w:r w:rsidR="00F24E3A" w:rsidRPr="00791AE6">
        <w:rPr>
          <w:rFonts w:ascii="Times New Roman" w:hAnsi="Times New Roman" w:cs="Times New Roman"/>
          <w:sz w:val="24"/>
          <w:szCs w:val="24"/>
        </w:rPr>
        <w:t>o wyłudzenia skarbowe w rozumieniu art. 119zg pkt 9</w:t>
      </w:r>
      <w:r w:rsidR="00792A27" w:rsidRPr="00791AE6">
        <w:rPr>
          <w:rFonts w:ascii="Times New Roman" w:hAnsi="Times New Roman" w:cs="Times New Roman"/>
          <w:sz w:val="24"/>
          <w:szCs w:val="24"/>
        </w:rPr>
        <w:t xml:space="preserve"> </w:t>
      </w:r>
      <w:r w:rsidR="00443130" w:rsidRPr="00791AE6">
        <w:rPr>
          <w:rFonts w:ascii="Times New Roman" w:hAnsi="Times New Roman" w:cs="Times New Roman"/>
          <w:sz w:val="24"/>
          <w:szCs w:val="24"/>
        </w:rPr>
        <w:t xml:space="preserve">lub </w:t>
      </w:r>
      <w:r w:rsidR="00792A27" w:rsidRPr="00791AE6">
        <w:rPr>
          <w:rFonts w:ascii="Times New Roman" w:hAnsi="Times New Roman" w:cs="Times New Roman"/>
          <w:sz w:val="24"/>
          <w:szCs w:val="24"/>
        </w:rPr>
        <w:t>o przestępstwo skarbowe</w:t>
      </w:r>
      <w:r w:rsidR="00F24E3A" w:rsidRPr="00791AE6">
        <w:rPr>
          <w:rFonts w:ascii="Times New Roman" w:hAnsi="Times New Roman" w:cs="Times New Roman"/>
          <w:sz w:val="24"/>
          <w:szCs w:val="24"/>
        </w:rPr>
        <w:t>;”</w:t>
      </w:r>
      <w:r w:rsidR="003924B4">
        <w:rPr>
          <w:rFonts w:ascii="Times New Roman" w:hAnsi="Times New Roman" w:cs="Times New Roman"/>
          <w:sz w:val="24"/>
          <w:szCs w:val="24"/>
        </w:rPr>
        <w:t>.</w:t>
      </w:r>
    </w:p>
    <w:p w14:paraId="7EC97A89" w14:textId="478E2A4F" w:rsidR="00443130" w:rsidRPr="009328A7" w:rsidRDefault="00791AE6" w:rsidP="002A2B90">
      <w:pPr>
        <w:spacing w:line="360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176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Art.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FC176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FC17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 ustawie </w:t>
      </w:r>
      <w:r w:rsidRPr="00791A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 dnia 10 września 1999 r.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- </w:t>
      </w:r>
      <w:r w:rsidRPr="00FC176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91AE6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Kodeks karny skarbowy </w:t>
      </w:r>
      <w:r w:rsidRPr="00FC17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(Dz. U. z 202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FC17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628</w:t>
      </w:r>
      <w:r w:rsidRPr="00E758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850</w:t>
      </w:r>
      <w:r w:rsidRPr="00FC17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) </w:t>
      </w:r>
      <w:r w:rsidRPr="00E758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 art.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44</w:t>
      </w:r>
      <w:r w:rsidR="009328A7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924B4" w:rsidRPr="009328A7">
        <w:rPr>
          <w:rFonts w:ascii="Times New Roman" w:hAnsi="Times New Roman" w:cs="Times New Roman"/>
          <w:sz w:val="24"/>
          <w:szCs w:val="24"/>
        </w:rPr>
        <w:t xml:space="preserve">po </w:t>
      </w:r>
      <w:r w:rsidRPr="009328A7">
        <w:rPr>
          <w:rFonts w:ascii="Times New Roman" w:hAnsi="Times New Roman" w:cs="Times New Roman"/>
          <w:sz w:val="24"/>
          <w:szCs w:val="24"/>
        </w:rPr>
        <w:t xml:space="preserve">§ 2 </w:t>
      </w:r>
      <w:r w:rsidR="003924B4" w:rsidRPr="009328A7">
        <w:rPr>
          <w:rFonts w:ascii="Times New Roman" w:hAnsi="Times New Roman" w:cs="Times New Roman"/>
          <w:sz w:val="24"/>
          <w:szCs w:val="24"/>
        </w:rPr>
        <w:t>dodaje się § 2a w brzmieniu:</w:t>
      </w:r>
    </w:p>
    <w:p w14:paraId="5174EBC6" w14:textId="49314209" w:rsidR="003924B4" w:rsidRPr="003924B4" w:rsidRDefault="00443130" w:rsidP="003924B4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924B4">
        <w:rPr>
          <w:rFonts w:ascii="Times New Roman" w:hAnsi="Times New Roman" w:cs="Times New Roman"/>
          <w:sz w:val="24"/>
          <w:szCs w:val="24"/>
        </w:rPr>
        <w:t>„§ 2a. Przepisu § 2 nie stosuje</w:t>
      </w:r>
      <w:r w:rsidR="00F30586">
        <w:rPr>
          <w:rFonts w:ascii="Times New Roman" w:hAnsi="Times New Roman" w:cs="Times New Roman"/>
          <w:sz w:val="24"/>
          <w:szCs w:val="24"/>
        </w:rPr>
        <w:t xml:space="preserve"> się</w:t>
      </w:r>
      <w:r w:rsidRPr="003924B4">
        <w:rPr>
          <w:rFonts w:ascii="Times New Roman" w:hAnsi="Times New Roman" w:cs="Times New Roman"/>
          <w:sz w:val="24"/>
          <w:szCs w:val="24"/>
        </w:rPr>
        <w:t>, jeżeli określenie, czy nastąpiło przedawnienie należności, o której mowa w tym przepisie, może zależeć od prawomocnego skazania sprawcy przestępstw skarbowego polegającego na uszczupleniu lub narażeniu na uszczuplenie należności publicznoprawnej.”</w:t>
      </w:r>
      <w:r w:rsidR="003924B4" w:rsidRPr="003924B4">
        <w:rPr>
          <w:rFonts w:ascii="Times New Roman" w:hAnsi="Times New Roman" w:cs="Times New Roman"/>
          <w:sz w:val="24"/>
          <w:szCs w:val="24"/>
        </w:rPr>
        <w:t>.</w:t>
      </w:r>
    </w:p>
    <w:p w14:paraId="6A80120C" w14:textId="19A9097A" w:rsidR="003924B4" w:rsidRDefault="003924B4" w:rsidP="002A2B90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176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Art.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FC1760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FC17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924B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Do przedawnienia zobowiązań podatkowych powstałych przed dniem wejścia w życie niniejszej ustawy stosuje się przepisy ustawy zmienianej w art. 1, w brzmieniu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C1F2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dotychczasowym</w:t>
      </w:r>
      <w:r w:rsidR="009328A7" w:rsidRPr="006C1F2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566C6D6" w14:textId="37CF1AFD" w:rsidR="003924B4" w:rsidRPr="00FC1760" w:rsidRDefault="003924B4" w:rsidP="002A2B90">
      <w:pPr>
        <w:spacing w:line="360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C1760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924B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Art.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3924B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3924B4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Ustawa wchodzi w życie po upływie 14 dni od dnia ogłoszenia.</w:t>
      </w:r>
    </w:p>
    <w:p w14:paraId="4A8D2F92" w14:textId="77777777" w:rsidR="003924B4" w:rsidRDefault="003924B4" w:rsidP="003924B4">
      <w:pPr>
        <w:rPr>
          <w:i/>
          <w:iCs/>
        </w:rPr>
      </w:pPr>
    </w:p>
    <w:p w14:paraId="3498DD37" w14:textId="77777777" w:rsidR="00443130" w:rsidRPr="00A66979" w:rsidRDefault="00443130" w:rsidP="00443130"/>
    <w:p w14:paraId="68884F5D" w14:textId="008AB2BA" w:rsidR="00D52580" w:rsidRDefault="00D52580" w:rsidP="00F24E3A">
      <w:pPr>
        <w:pStyle w:val="Akapitzlist"/>
      </w:pPr>
    </w:p>
    <w:p w14:paraId="2AF10801" w14:textId="77777777" w:rsidR="009B043F" w:rsidRDefault="009B043F" w:rsidP="00D52580">
      <w:pPr>
        <w:ind w:left="360"/>
      </w:pPr>
    </w:p>
    <w:p w14:paraId="6464992A" w14:textId="77777777" w:rsidR="0081461F" w:rsidRDefault="0081461F" w:rsidP="00D52580">
      <w:pPr>
        <w:ind w:left="360"/>
      </w:pPr>
    </w:p>
    <w:p w14:paraId="0BEF0F28" w14:textId="77777777" w:rsidR="0081461F" w:rsidRDefault="0081461F" w:rsidP="00D52580">
      <w:pPr>
        <w:ind w:left="360"/>
      </w:pPr>
    </w:p>
    <w:p w14:paraId="45C47DFC" w14:textId="77777777" w:rsidR="0081461F" w:rsidRDefault="0081461F" w:rsidP="00D52580">
      <w:pPr>
        <w:ind w:left="360"/>
      </w:pPr>
    </w:p>
    <w:p w14:paraId="1C83BCCF" w14:textId="77777777" w:rsidR="0081461F" w:rsidRDefault="0081461F" w:rsidP="00D52580">
      <w:pPr>
        <w:ind w:left="360"/>
      </w:pPr>
    </w:p>
    <w:p w14:paraId="62A9DA77" w14:textId="77777777" w:rsidR="0081461F" w:rsidRDefault="0081461F" w:rsidP="00D52580">
      <w:pPr>
        <w:ind w:left="360"/>
      </w:pPr>
    </w:p>
    <w:p w14:paraId="44B96E44" w14:textId="6E4A54C7" w:rsidR="0081461F" w:rsidRDefault="0081461F" w:rsidP="0081461F">
      <w:pPr>
        <w:keepNext/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54"/>
          <w:kern w:val="24"/>
          <w:sz w:val="24"/>
          <w:szCs w:val="24"/>
          <w:lang w:eastAsia="pl-PL"/>
          <w14:ligatures w14:val="none"/>
        </w:rPr>
      </w:pPr>
      <w:r w:rsidRPr="00FC1760">
        <w:rPr>
          <w:rFonts w:ascii="Times New Roman" w:eastAsia="Times New Roman" w:hAnsi="Times New Roman" w:cs="Times New Roman"/>
          <w:b/>
          <w:bCs/>
          <w:caps/>
          <w:spacing w:val="54"/>
          <w:kern w:val="24"/>
          <w:sz w:val="24"/>
          <w:szCs w:val="24"/>
          <w:lang w:eastAsia="pl-PL"/>
          <w14:ligatures w14:val="none"/>
        </w:rPr>
        <w:lastRenderedPageBreak/>
        <w:t>U</w:t>
      </w:r>
      <w:r>
        <w:rPr>
          <w:rFonts w:ascii="Times New Roman" w:eastAsia="Times New Roman" w:hAnsi="Times New Roman" w:cs="Times New Roman"/>
          <w:b/>
          <w:bCs/>
          <w:caps/>
          <w:spacing w:val="54"/>
          <w:kern w:val="24"/>
          <w:sz w:val="24"/>
          <w:szCs w:val="24"/>
          <w:lang w:eastAsia="pl-PL"/>
          <w14:ligatures w14:val="none"/>
        </w:rPr>
        <w:t>ZASADNIENIE</w:t>
      </w:r>
    </w:p>
    <w:p w14:paraId="488F49BC" w14:textId="77777777" w:rsidR="0046174E" w:rsidRPr="00FC1760" w:rsidRDefault="0046174E" w:rsidP="0081461F">
      <w:pPr>
        <w:keepNext/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54"/>
          <w:kern w:val="24"/>
          <w:sz w:val="24"/>
          <w:szCs w:val="24"/>
          <w:lang w:eastAsia="pl-PL"/>
          <w14:ligatures w14:val="none"/>
        </w:rPr>
      </w:pPr>
    </w:p>
    <w:p w14:paraId="4AD569BA" w14:textId="28854305" w:rsidR="0046174E" w:rsidRPr="0046174E" w:rsidRDefault="0046174E" w:rsidP="0046174E">
      <w:pPr>
        <w:spacing w:line="360" w:lineRule="auto"/>
        <w:ind w:firstLine="708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46174E">
        <w:rPr>
          <w:rFonts w:ascii="Times New Roman" w:eastAsia="Aptos" w:hAnsi="Times New Roman" w:cs="Times New Roman"/>
          <w:sz w:val="24"/>
          <w:szCs w:val="24"/>
        </w:rPr>
        <w:t>Upływ terminu przedawnienia uznany jest za negatywną przesłankę procesową prowadzenia postępowania podatkowego. Termin wskazany w art. 70 § 1 ustawy Ordynacji podatkowej ma każdorazowo znaczenie dla oceny dopuszczalności prowadzenia postępowania podatkowego. Ustawodawca nie wskazał zamkniętego katalogu przyczyn powodujących bezprzedmiotowość postępowania</w:t>
      </w:r>
      <w:r w:rsidR="008F49E6">
        <w:rPr>
          <w:rFonts w:ascii="Times New Roman" w:eastAsia="Aptos" w:hAnsi="Times New Roman" w:cs="Times New Roman"/>
          <w:sz w:val="24"/>
          <w:szCs w:val="24"/>
        </w:rPr>
        <w:t>,</w:t>
      </w:r>
      <w:r w:rsidRPr="0046174E">
        <w:rPr>
          <w:rFonts w:ascii="Times New Roman" w:eastAsia="Aptos" w:hAnsi="Times New Roman" w:cs="Times New Roman"/>
          <w:sz w:val="24"/>
          <w:szCs w:val="24"/>
        </w:rPr>
        <w:t xml:space="preserve"> lecz w sposób wyraźny wskazał na upływ terminu przedawnienia jako negatywną przesłankę możliwości konkretyzowania indywidualnych uprawnień czy obowiązków.</w:t>
      </w:r>
    </w:p>
    <w:p w14:paraId="7845D50A" w14:textId="77777777" w:rsidR="0046174E" w:rsidRPr="0046174E" w:rsidRDefault="0046174E" w:rsidP="0046174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17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Przedawnienie zobowiązania podatkowego oznacza, że zobowiązanie to przestaje istnieć. Po upływie określonego w ustawie Ordynacja podatkowa terminu zobowiązanie podatkowe, chociaż niezapłacone, wygasa z mocy prawa. Dodatkowo przedawnienie zobowiązania podatkowego oznacza, że wygasa nie tylko zobowiązanie podatkowe, ale także odsetki za zwłokę od tego zobowiązania podatkowego. Do wygaszenia zobowiązania prawnego w przypadku przedawnienia dochodzi bez potrzeby wydawania odrębnych decyzji. </w:t>
      </w:r>
    </w:p>
    <w:p w14:paraId="2A0AE3FC" w14:textId="77777777" w:rsidR="0046174E" w:rsidRPr="0046174E" w:rsidRDefault="0046174E" w:rsidP="0046174E">
      <w:pPr>
        <w:spacing w:line="360" w:lineRule="auto"/>
        <w:ind w:firstLine="708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46174E">
        <w:rPr>
          <w:rFonts w:ascii="Times New Roman" w:eastAsia="Aptos" w:hAnsi="Times New Roman" w:cs="Times New Roman"/>
          <w:sz w:val="24"/>
          <w:szCs w:val="24"/>
        </w:rPr>
        <w:t xml:space="preserve">Zgodnie z art. 70 § 1 ustawy Ordynacja podatkowa zobowiązanie podatkowe przedawnia się z upływem 5 lat, licząc od końca roku kalendarzowego, w którym upłynął termin płatności podatku. Wnioskodawcy projektu proponują skrócenie podstawowego terminu przedawnienia zobowiązań podatkowych do 3 lat, a także zachowanie 5-letniego terminu przedawnienia zobowiązań podatkowych dla zobowiązań o znacznej wartości oraz wprowadzenie wydłużonego 10-letniego terminu przedawnienia zobowiązań podatkowych w kwalifikowanych przypadkach takich jak m.in. wyłudzenia skarbowe, unikanie opodatkowania czy nadużycie prawa. </w:t>
      </w:r>
    </w:p>
    <w:p w14:paraId="7ED8FE0E" w14:textId="70313518" w:rsidR="0046174E" w:rsidRPr="0046174E" w:rsidRDefault="0046174E" w:rsidP="0046174E">
      <w:pPr>
        <w:spacing w:line="360" w:lineRule="auto"/>
        <w:ind w:firstLine="708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46174E">
        <w:rPr>
          <w:rFonts w:ascii="Times New Roman" w:eastAsia="Aptos" w:hAnsi="Times New Roman" w:cs="Times New Roman"/>
          <w:sz w:val="24"/>
          <w:szCs w:val="24"/>
        </w:rPr>
        <w:t xml:space="preserve">Wnioskodawcy projektu proponują ograniczenie zastosowania art. 70 § 6 pkt 1 oraz 7 pkt 1 jedynie do sytuacji prawomocnego skazania za wyłudzenia skarbowe oraz zobowiązania podatkowego z tytułu VAT powyżej 1 mln zł, a także wyłączenie zastosowania w odniesieniu do wykroczeń skarbowych oraz </w:t>
      </w:r>
      <w:r w:rsidR="00E81362">
        <w:rPr>
          <w:rFonts w:ascii="Times New Roman" w:eastAsia="Aptos" w:hAnsi="Times New Roman" w:cs="Times New Roman"/>
          <w:sz w:val="24"/>
          <w:szCs w:val="24"/>
        </w:rPr>
        <w:t>o</w:t>
      </w:r>
      <w:r w:rsidRPr="0046174E">
        <w:rPr>
          <w:rFonts w:ascii="Times New Roman" w:eastAsia="Aptos" w:hAnsi="Times New Roman" w:cs="Times New Roman"/>
          <w:sz w:val="24"/>
          <w:szCs w:val="24"/>
        </w:rPr>
        <w:t xml:space="preserve">graniczenie zastosowania przepisów o ustaniu karalności KKS w przypadku przedawnienia zobowiązania podatkowego, czego celem jest uniknięcie „okrężności” przepisów wiążących termin przedawnienia z prawomocnym skazaniem. </w:t>
      </w:r>
    </w:p>
    <w:p w14:paraId="6597522C" w14:textId="77777777" w:rsidR="0046174E" w:rsidRPr="0046174E" w:rsidRDefault="0046174E" w:rsidP="0046174E">
      <w:pPr>
        <w:spacing w:line="360" w:lineRule="auto"/>
        <w:ind w:firstLine="708"/>
        <w:jc w:val="both"/>
        <w:rPr>
          <w:rFonts w:ascii="Aptos" w:eastAsia="Aptos" w:hAnsi="Aptos" w:cs="Times New Roman"/>
        </w:rPr>
      </w:pPr>
      <w:r w:rsidRPr="0046174E">
        <w:rPr>
          <w:rFonts w:ascii="Times New Roman" w:eastAsia="Aptos" w:hAnsi="Times New Roman" w:cs="Times New Roman"/>
          <w:sz w:val="24"/>
          <w:szCs w:val="24"/>
        </w:rPr>
        <w:t>Wprowadzone zmiany mają doprowadzić między innymi do usunięcia stanu niepewności prawnej w sytuacji, gdy uprawniony przez długi czas nie realizuje przysługujących mu roszczeń.</w:t>
      </w:r>
    </w:p>
    <w:p w14:paraId="7938622F" w14:textId="77777777" w:rsidR="0046174E" w:rsidRDefault="0046174E" w:rsidP="0049360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174E">
        <w:rPr>
          <w:rFonts w:ascii="Times New Roman" w:eastAsia="Aptos" w:hAnsi="Times New Roman" w:cs="Times New Roman"/>
          <w:sz w:val="24"/>
          <w:szCs w:val="24"/>
        </w:rPr>
        <w:lastRenderedPageBreak/>
        <w:t xml:space="preserve">Wnioskodawcy zakładają wejście w życie proponowanych zapisów </w:t>
      </w:r>
      <w:r w:rsidRPr="0046174E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po upływie 14 dni od dnia ogłoszenia.</w:t>
      </w:r>
    </w:p>
    <w:p w14:paraId="7001208C" w14:textId="6B53FADE" w:rsidR="0049360C" w:rsidRPr="0046174E" w:rsidRDefault="0049360C" w:rsidP="0049360C">
      <w:pPr>
        <w:spacing w:after="0" w:line="360" w:lineRule="auto"/>
        <w:ind w:firstLine="708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49360C">
        <w:rPr>
          <w:rFonts w:ascii="Times New Roman" w:eastAsia="Aptos" w:hAnsi="Times New Roman" w:cs="Times New Roman"/>
          <w:sz w:val="24"/>
          <w:szCs w:val="24"/>
        </w:rPr>
        <w:t xml:space="preserve">Projekt pozytywnie wpłynie na działalność </w:t>
      </w:r>
      <w:proofErr w:type="spellStart"/>
      <w:r w:rsidRPr="0049360C">
        <w:rPr>
          <w:rFonts w:ascii="Times New Roman" w:eastAsia="Aptos" w:hAnsi="Times New Roman" w:cs="Times New Roman"/>
          <w:sz w:val="24"/>
          <w:szCs w:val="24"/>
        </w:rPr>
        <w:t>mikroprzedsiębiorców</w:t>
      </w:r>
      <w:proofErr w:type="spellEnd"/>
      <w:r w:rsidRPr="0049360C">
        <w:rPr>
          <w:rFonts w:ascii="Times New Roman" w:eastAsia="Aptos" w:hAnsi="Times New Roman" w:cs="Times New Roman"/>
          <w:sz w:val="24"/>
          <w:szCs w:val="24"/>
        </w:rPr>
        <w:t xml:space="preserve"> oraz małych i średnich przedsiębiorców</w:t>
      </w:r>
    </w:p>
    <w:p w14:paraId="031B9D1D" w14:textId="05D55E94" w:rsidR="0046174E" w:rsidRPr="0046174E" w:rsidRDefault="0046174E" w:rsidP="0049360C">
      <w:pPr>
        <w:widowControl w:val="0"/>
        <w:shd w:val="clear" w:color="auto" w:fill="FFFFFF"/>
        <w:spacing w:after="0" w:line="360" w:lineRule="auto"/>
        <w:ind w:firstLine="708"/>
        <w:jc w:val="both"/>
        <w:rPr>
          <w:rFonts w:ascii="Times New Roman" w:eastAsia="Aptos" w:hAnsi="Times New Roman" w:cs="Times New Roman"/>
          <w:color w:val="000000"/>
          <w:sz w:val="23"/>
          <w:szCs w:val="23"/>
          <w:shd w:val="clear" w:color="auto" w:fill="FFFFFF"/>
        </w:rPr>
      </w:pPr>
      <w:r w:rsidRPr="0046174E">
        <w:rPr>
          <w:rFonts w:ascii="Times New Roman" w:eastAsia="Aptos" w:hAnsi="Times New Roman" w:cs="Times New Roman"/>
          <w:color w:val="000000"/>
          <w:sz w:val="24"/>
          <w:szCs w:val="24"/>
          <w:shd w:val="clear" w:color="auto" w:fill="FFFFFF"/>
        </w:rPr>
        <w:t xml:space="preserve">Projekt ustawy nie pociąga za sobą obciążenia </w:t>
      </w:r>
      <w:r w:rsidR="0060460B">
        <w:rPr>
          <w:rFonts w:ascii="Times New Roman" w:eastAsia="Aptos" w:hAnsi="Times New Roman" w:cs="Times New Roman"/>
          <w:color w:val="000000"/>
          <w:sz w:val="24"/>
          <w:szCs w:val="24"/>
          <w:shd w:val="clear" w:color="auto" w:fill="FFFFFF"/>
        </w:rPr>
        <w:t xml:space="preserve">budżetu państwa oraz </w:t>
      </w:r>
      <w:r w:rsidRPr="0046174E">
        <w:rPr>
          <w:rFonts w:ascii="Times New Roman" w:eastAsia="Aptos" w:hAnsi="Times New Roman" w:cs="Times New Roman"/>
          <w:color w:val="000000"/>
          <w:sz w:val="24"/>
          <w:szCs w:val="24"/>
          <w:shd w:val="clear" w:color="auto" w:fill="FFFFFF"/>
        </w:rPr>
        <w:t>budżetów jednostek samorządu terytorialnego.</w:t>
      </w:r>
    </w:p>
    <w:p w14:paraId="281CD04A" w14:textId="77777777" w:rsidR="0049360C" w:rsidRDefault="0046174E" w:rsidP="0049360C">
      <w:pPr>
        <w:spacing w:after="0" w:line="360" w:lineRule="auto"/>
        <w:ind w:firstLine="708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46174E">
        <w:rPr>
          <w:rFonts w:ascii="Times New Roman" w:eastAsia="Aptos" w:hAnsi="Times New Roman" w:cs="Times New Roman"/>
          <w:sz w:val="24"/>
          <w:szCs w:val="24"/>
        </w:rPr>
        <w:t xml:space="preserve">Projekt ustawy wywołuje pozytywne skutki społeczne, gospodarcze, finansowe i prawne. </w:t>
      </w:r>
    </w:p>
    <w:p w14:paraId="556714B6" w14:textId="358E1DDF" w:rsidR="0046174E" w:rsidRPr="0046174E" w:rsidRDefault="0046174E" w:rsidP="0049360C">
      <w:pPr>
        <w:spacing w:after="0" w:line="360" w:lineRule="auto"/>
        <w:ind w:firstLine="708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46174E">
        <w:rPr>
          <w:rFonts w:ascii="Times New Roman" w:eastAsia="Aptos" w:hAnsi="Times New Roman" w:cs="Times New Roman"/>
          <w:sz w:val="24"/>
          <w:szCs w:val="24"/>
        </w:rPr>
        <w:t>Projekt ustawy nie jest sprzeczny z prawem Unii Europejskiej.</w:t>
      </w:r>
    </w:p>
    <w:p w14:paraId="6E926647" w14:textId="77777777" w:rsidR="0046174E" w:rsidRPr="0046174E" w:rsidRDefault="0046174E" w:rsidP="0049360C">
      <w:pPr>
        <w:spacing w:after="0" w:line="360" w:lineRule="auto"/>
        <w:jc w:val="both"/>
        <w:rPr>
          <w:rFonts w:ascii="Aptos" w:eastAsia="Aptos" w:hAnsi="Aptos" w:cs="Times New Roman"/>
        </w:rPr>
      </w:pPr>
    </w:p>
    <w:p w14:paraId="0688C0B3" w14:textId="77777777" w:rsidR="0081461F" w:rsidRPr="00D52580" w:rsidRDefault="0081461F" w:rsidP="00D52580">
      <w:pPr>
        <w:ind w:left="360"/>
      </w:pPr>
    </w:p>
    <w:sectPr w:rsidR="0081461F" w:rsidRPr="00D52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72B25" w14:textId="77777777" w:rsidR="00C16C6B" w:rsidRDefault="00C16C6B" w:rsidP="00F16F5F">
      <w:pPr>
        <w:spacing w:after="0" w:line="240" w:lineRule="auto"/>
      </w:pPr>
      <w:r>
        <w:separator/>
      </w:r>
    </w:p>
  </w:endnote>
  <w:endnote w:type="continuationSeparator" w:id="0">
    <w:p w14:paraId="713DAE59" w14:textId="77777777" w:rsidR="00C16C6B" w:rsidRDefault="00C16C6B" w:rsidP="00F1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86F3C" w14:textId="77777777" w:rsidR="00C16C6B" w:rsidRDefault="00C16C6B" w:rsidP="00F16F5F">
      <w:pPr>
        <w:spacing w:after="0" w:line="240" w:lineRule="auto"/>
      </w:pPr>
      <w:r>
        <w:separator/>
      </w:r>
    </w:p>
  </w:footnote>
  <w:footnote w:type="continuationSeparator" w:id="0">
    <w:p w14:paraId="4116A834" w14:textId="77777777" w:rsidR="00C16C6B" w:rsidRDefault="00C16C6B" w:rsidP="00F16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6112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" w15:restartNumberingAfterBreak="0">
    <w:nsid w:val="1C3B31EF"/>
    <w:multiLevelType w:val="hybridMultilevel"/>
    <w:tmpl w:val="E38E7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762D4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3AB73DE0"/>
    <w:multiLevelType w:val="hybridMultilevel"/>
    <w:tmpl w:val="16E6B7B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1521F"/>
    <w:multiLevelType w:val="multilevel"/>
    <w:tmpl w:val="92543F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5" w15:restartNumberingAfterBreak="0">
    <w:nsid w:val="547E217D"/>
    <w:multiLevelType w:val="multilevel"/>
    <w:tmpl w:val="92543F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6" w15:restartNumberingAfterBreak="0">
    <w:nsid w:val="751455F8"/>
    <w:multiLevelType w:val="hybridMultilevel"/>
    <w:tmpl w:val="2BCCB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95FCD"/>
    <w:multiLevelType w:val="hybridMultilevel"/>
    <w:tmpl w:val="1E82E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184322">
    <w:abstractNumId w:val="1"/>
  </w:num>
  <w:num w:numId="2" w16cid:durableId="1930044414">
    <w:abstractNumId w:val="2"/>
  </w:num>
  <w:num w:numId="3" w16cid:durableId="1214735745">
    <w:abstractNumId w:val="0"/>
  </w:num>
  <w:num w:numId="4" w16cid:durableId="1905142313">
    <w:abstractNumId w:val="4"/>
  </w:num>
  <w:num w:numId="5" w16cid:durableId="6323889">
    <w:abstractNumId w:val="3"/>
  </w:num>
  <w:num w:numId="6" w16cid:durableId="2021737294">
    <w:abstractNumId w:val="5"/>
  </w:num>
  <w:num w:numId="7" w16cid:durableId="1152522414">
    <w:abstractNumId w:val="7"/>
  </w:num>
  <w:num w:numId="8" w16cid:durableId="15887271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03"/>
    <w:rsid w:val="00012CAF"/>
    <w:rsid w:val="00070C7E"/>
    <w:rsid w:val="00074918"/>
    <w:rsid w:val="00097A22"/>
    <w:rsid w:val="000B7BF9"/>
    <w:rsid w:val="000E2860"/>
    <w:rsid w:val="00105B63"/>
    <w:rsid w:val="001C76C9"/>
    <w:rsid w:val="002A2B90"/>
    <w:rsid w:val="00304358"/>
    <w:rsid w:val="003924B4"/>
    <w:rsid w:val="003972F7"/>
    <w:rsid w:val="00443130"/>
    <w:rsid w:val="00455B58"/>
    <w:rsid w:val="0046174E"/>
    <w:rsid w:val="0049360C"/>
    <w:rsid w:val="004A3256"/>
    <w:rsid w:val="00580703"/>
    <w:rsid w:val="00597DE4"/>
    <w:rsid w:val="005C6114"/>
    <w:rsid w:val="0060460B"/>
    <w:rsid w:val="00636944"/>
    <w:rsid w:val="006475F3"/>
    <w:rsid w:val="00670A93"/>
    <w:rsid w:val="006C1F2D"/>
    <w:rsid w:val="006E7B36"/>
    <w:rsid w:val="00791AE6"/>
    <w:rsid w:val="00792A27"/>
    <w:rsid w:val="00796624"/>
    <w:rsid w:val="007A59EB"/>
    <w:rsid w:val="007B7111"/>
    <w:rsid w:val="007E05A9"/>
    <w:rsid w:val="007F1068"/>
    <w:rsid w:val="0081461F"/>
    <w:rsid w:val="00865CEC"/>
    <w:rsid w:val="00866CAD"/>
    <w:rsid w:val="008F49E6"/>
    <w:rsid w:val="00907C76"/>
    <w:rsid w:val="009328A7"/>
    <w:rsid w:val="009417C6"/>
    <w:rsid w:val="009B043F"/>
    <w:rsid w:val="009D7893"/>
    <w:rsid w:val="00A66979"/>
    <w:rsid w:val="00AB10A1"/>
    <w:rsid w:val="00B3514A"/>
    <w:rsid w:val="00C16C6B"/>
    <w:rsid w:val="00C73385"/>
    <w:rsid w:val="00D41614"/>
    <w:rsid w:val="00D52580"/>
    <w:rsid w:val="00D859E4"/>
    <w:rsid w:val="00DF3E04"/>
    <w:rsid w:val="00E75825"/>
    <w:rsid w:val="00E81362"/>
    <w:rsid w:val="00E8195C"/>
    <w:rsid w:val="00EA7201"/>
    <w:rsid w:val="00F16F5F"/>
    <w:rsid w:val="00F24E3A"/>
    <w:rsid w:val="00F30586"/>
    <w:rsid w:val="00F60377"/>
    <w:rsid w:val="00FC1760"/>
    <w:rsid w:val="00FD276F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324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25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1A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1A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1A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1A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1AE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C76C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16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F5F"/>
  </w:style>
  <w:style w:type="paragraph" w:styleId="Stopka">
    <w:name w:val="footer"/>
    <w:basedOn w:val="Normalny"/>
    <w:link w:val="StopkaZnak"/>
    <w:uiPriority w:val="99"/>
    <w:unhideWhenUsed/>
    <w:rsid w:val="00F16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4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384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45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33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31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FFFB1-F07E-4070-B9F8-12D77F7FC90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4770</Characters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2024-06-24T11:58:00Z</dcterms:created>
  <dcterms:modified xsi:type="dcterms:W3CDTF">2024-06-25T10:12:00Z</dcterms:modified>
</cp:coreProperties>
</file>